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3C8" w:rsidRPr="00EA33C8" w:rsidRDefault="00EA33C8" w:rsidP="00EA33C8">
      <w:pPr>
        <w:shd w:val="clear" w:color="auto" w:fill="FFFFFF"/>
        <w:spacing w:after="300" w:line="624" w:lineRule="atLeast"/>
        <w:outlineLvl w:val="0"/>
        <w:rPr>
          <w:rFonts w:ascii="Arial" w:eastAsia="Times New Roman" w:hAnsi="Arial" w:cs="Arial"/>
          <w:color w:val="121212"/>
          <w:kern w:val="36"/>
          <w:sz w:val="48"/>
          <w:szCs w:val="48"/>
          <w:lang w:eastAsia="ru-RU"/>
        </w:rPr>
      </w:pPr>
      <w:r w:rsidRPr="00EA33C8">
        <w:rPr>
          <w:rFonts w:ascii="Arial" w:eastAsia="Times New Roman" w:hAnsi="Arial" w:cs="Arial"/>
          <w:color w:val="121212"/>
          <w:kern w:val="36"/>
          <w:sz w:val="48"/>
          <w:szCs w:val="48"/>
          <w:lang w:eastAsia="ru-RU"/>
        </w:rPr>
        <w:t>Как в Казахстане развивается рынок «зеленого» финансирования</w:t>
      </w:r>
    </w:p>
    <w:p w:rsidR="00EA33C8" w:rsidRPr="00EA33C8" w:rsidRDefault="00EA33C8" w:rsidP="00EA33C8">
      <w:pPr>
        <w:shd w:val="clear" w:color="auto" w:fill="FFFFFF"/>
        <w:spacing w:line="370" w:lineRule="atLeast"/>
        <w:rPr>
          <w:rFonts w:ascii="Arial" w:eastAsia="Times New Roman" w:hAnsi="Arial" w:cs="Arial"/>
          <w:color w:val="121212"/>
          <w:sz w:val="26"/>
          <w:szCs w:val="26"/>
          <w:lang w:eastAsia="ru-RU"/>
        </w:rPr>
      </w:pPr>
      <w:r w:rsidRPr="00EA33C8">
        <w:rPr>
          <w:rFonts w:ascii="Arial" w:eastAsia="Times New Roman" w:hAnsi="Arial" w:cs="Arial"/>
          <w:color w:val="121212"/>
          <w:sz w:val="26"/>
          <w:szCs w:val="26"/>
          <w:lang w:eastAsia="ru-RU"/>
        </w:rPr>
        <w:t>Для достижения Казахстаном углеродной нейтральности к 2060 году необходимым условием является привлечение «зеленых» инвестиций</w:t>
      </w:r>
    </w:p>
    <w:p w:rsidR="00EA33C8" w:rsidRPr="00A36EE9" w:rsidRDefault="00EA33C8" w:rsidP="00A36E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7"/>
          <w:szCs w:val="27"/>
          <w:bdr w:val="none" w:sz="0" w:space="0" w:color="auto" w:frame="1"/>
          <w:lang w:eastAsia="ru-RU"/>
        </w:rPr>
      </w:pPr>
      <w:r w:rsidRPr="00EA33C8">
        <w:rPr>
          <w:rFonts w:ascii="Arial" w:eastAsia="Times New Roman" w:hAnsi="Arial" w:cs="Arial"/>
          <w:color w:val="121212"/>
          <w:sz w:val="27"/>
          <w:szCs w:val="27"/>
          <w:lang w:eastAsia="ru-RU"/>
        </w:rPr>
        <w:fldChar w:fldCharType="begin"/>
      </w:r>
      <w:r w:rsidRPr="00EA33C8">
        <w:rPr>
          <w:rFonts w:ascii="Arial" w:eastAsia="Times New Roman" w:hAnsi="Arial" w:cs="Arial"/>
          <w:color w:val="121212"/>
          <w:sz w:val="27"/>
          <w:szCs w:val="27"/>
          <w:lang w:eastAsia="ru-RU"/>
        </w:rPr>
        <w:instrText xml:space="preserve"> HYPERLINK "http://forbes.kz/authors/forbes_admin" </w:instrText>
      </w:r>
      <w:r w:rsidRPr="00EA33C8">
        <w:rPr>
          <w:rFonts w:ascii="Arial" w:eastAsia="Times New Roman" w:hAnsi="Arial" w:cs="Arial"/>
          <w:color w:val="121212"/>
          <w:sz w:val="27"/>
          <w:szCs w:val="27"/>
          <w:lang w:eastAsia="ru-RU"/>
        </w:rPr>
        <w:fldChar w:fldCharType="separate"/>
      </w:r>
    </w:p>
    <w:p w:rsidR="00EA33C8" w:rsidRPr="00EA33C8" w:rsidRDefault="00EA33C8" w:rsidP="00EA33C8">
      <w:pPr>
        <w:shd w:val="clear" w:color="auto" w:fill="FFFFFF"/>
        <w:spacing w:line="240" w:lineRule="auto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121212"/>
          <w:sz w:val="27"/>
          <w:szCs w:val="27"/>
          <w:lang w:eastAsia="ru-RU"/>
        </w:rPr>
        <w:fldChar w:fldCharType="end"/>
      </w:r>
    </w:p>
    <w:p w:rsidR="00EA33C8" w:rsidRPr="00EA33C8" w:rsidRDefault="00EA33C8" w:rsidP="00EA33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noProof/>
          <w:color w:val="121212"/>
          <w:sz w:val="27"/>
          <w:szCs w:val="27"/>
          <w:lang w:eastAsia="ru-RU"/>
        </w:rPr>
        <w:drawing>
          <wp:inline distT="0" distB="0" distL="0" distR="0">
            <wp:extent cx="6858000" cy="4562475"/>
            <wp:effectExtent l="0" t="0" r="0" b="9525"/>
            <wp:docPr id="5" name="Рисунок 5" descr="https://img.forbes.kz/forbes-photobank/media/2024-06-10/dd114cd1-4805-43e9-82f7-2dbc8d393039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.forbes.kz/forbes-photobank/media/2024-06-10/dd114cd1-4805-43e9-82f7-2dbc8d393039.web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EA33C8" w:rsidRDefault="00EA33C8" w:rsidP="00EA33C8">
      <w:pPr>
        <w:shd w:val="clear" w:color="auto" w:fill="FFFFFF"/>
        <w:spacing w:line="252" w:lineRule="atLeast"/>
        <w:rPr>
          <w:rFonts w:ascii="Arial" w:eastAsia="Times New Roman" w:hAnsi="Arial" w:cs="Arial"/>
          <w:color w:val="121212"/>
          <w:sz w:val="18"/>
          <w:szCs w:val="18"/>
          <w:lang w:eastAsia="ru-RU"/>
        </w:rPr>
      </w:pPr>
      <w:r w:rsidRPr="00EA33C8">
        <w:rPr>
          <w:rFonts w:ascii="Arial" w:eastAsia="Times New Roman" w:hAnsi="Arial" w:cs="Arial"/>
          <w:color w:val="121212"/>
          <w:sz w:val="18"/>
          <w:szCs w:val="18"/>
          <w:lang w:eastAsia="ru-RU"/>
        </w:rPr>
        <w:t>ФОТО: © UNDP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По предварительным оценкам Министерства национальной экономики Республики Казахстан, реализация этой амбициозной задачи потребует $647,5 млрд. (согласно проекту Стратегии углеродной нейтральности РК до 2060 года) в течение следующих 40 лет. При этом, государственные вливания предусматриваются на создание нормативно-правовой базы, а также финансовой и физической инфраструктуры.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Бóльшая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же часть финансирования, около 96,5% от общего объема, ожидается от частного сектора.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lastRenderedPageBreak/>
        <w:t xml:space="preserve">На вопросы отвечает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Сухроб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Ходжиматов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,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и.о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. постоянного представителя ПРООН в Казахстане.</w:t>
      </w:r>
    </w:p>
    <w:p w:rsidR="00EA33C8" w:rsidRPr="00EA33C8" w:rsidRDefault="00EA33C8" w:rsidP="00EA33C8">
      <w:pPr>
        <w:shd w:val="clear" w:color="auto" w:fill="FFFFFF"/>
        <w:spacing w:after="0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b/>
          <w:bCs/>
          <w:color w:val="121212"/>
          <w:sz w:val="26"/>
          <w:szCs w:val="26"/>
          <w:bdr w:val="none" w:sz="0" w:space="0" w:color="auto" w:frame="1"/>
          <w:lang w:eastAsia="ru-RU"/>
        </w:rPr>
        <w:t>Как развивается рынок «зеленого» финансирования в Казахстане и какие существуют барьеры?</w:t>
      </w:r>
    </w:p>
    <w:p w:rsidR="00EA33C8" w:rsidRPr="00EA33C8" w:rsidRDefault="00EA33C8" w:rsidP="00EA33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r w:rsidRPr="00EA33C8">
        <w:rPr>
          <w:rFonts w:ascii="Roboto Flex" w:eastAsia="Times New Roman" w:hAnsi="Roboto Flex" w:cs="Arial"/>
          <w:noProof/>
          <w:color w:val="0000FF"/>
          <w:sz w:val="26"/>
          <w:szCs w:val="26"/>
          <w:bdr w:val="none" w:sz="0" w:space="0" w:color="auto" w:frame="1"/>
          <w:lang w:eastAsia="ru-RU"/>
        </w:rPr>
        <w:drawing>
          <wp:inline distT="0" distB="0" distL="0" distR="0">
            <wp:extent cx="1257300" cy="762000"/>
            <wp:effectExtent l="0" t="0" r="0" b="0"/>
            <wp:docPr id="4" name="Рисунок 4" descr="Казахстан обеспечит Евросоюз зелёным водородом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захстан обеспечит Евросоюз зелёным водородом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EA33C8" w:rsidRDefault="00A36EE9" w:rsidP="00EA33C8">
      <w:pPr>
        <w:shd w:val="clear" w:color="auto" w:fill="FFFFFF"/>
        <w:spacing w:after="0" w:line="405" w:lineRule="atLeast"/>
        <w:outlineLvl w:val="2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hyperlink r:id="rId7" w:history="1"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Казахстан обеспечит Евросоюз зелёным водородом</w:t>
        </w:r>
      </w:hyperlink>
    </w:p>
    <w:p w:rsidR="00EA33C8" w:rsidRPr="00EA33C8" w:rsidRDefault="00A36EE9" w:rsidP="00EA33C8">
      <w:pPr>
        <w:shd w:val="clear" w:color="auto" w:fill="FFFFFF"/>
        <w:spacing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hyperlink r:id="rId8" w:history="1"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 xml:space="preserve">Немецко-шведская компания </w:t>
        </w:r>
        <w:proofErr w:type="spellStart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Svevind</w:t>
        </w:r>
        <w:proofErr w:type="spellEnd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 xml:space="preserve"> построит в </w:t>
        </w:r>
        <w:proofErr w:type="spellStart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Мангистауской</w:t>
        </w:r>
        <w:proofErr w:type="spellEnd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 xml:space="preserve"> области один из ... →</w:t>
        </w:r>
      </w:hyperlink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- В Казахстане на сегодня сформированы базовые законодательные и регуляторные рамки для развития рынка зеленого финансирования. Принятый в прошлом году Экологический кодекс вводит таксономию зеленых проектов, дано законодательное определение зеленого финансирования, конкретных инструментов для экономического стимулирования деятельности, направленной на охрану окружающей среды. В декабре 2021 года принята таксономия «зеленых» проектов, подлежащих финансированию через «зеленые» облигации и кредиты. Таксономия даёт чёткие определения типов и технологий «зелёных» проектов, чтобы все участники рынка (банки, фонды, инвесторы, надзорные органы, пользователи) имели одинаковую базу для определения своих задач, программ и финансовых продуктов, </w:t>
      </w:r>
      <w:proofErr w:type="gram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например</w:t>
      </w:r>
      <w:proofErr w:type="gram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условий выдачи «зеленых» кредитов. Мы рады, что пилотирование первых зеленых инструментов ПРООН дало положительный импульс созданию и развитию рынку устойчивого финансирования в Казахстане.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Вместе с тем, недостаток знаний, дороговизна финансирования и настороженность финансовых институтов, а также существующая практика субсидирования ископаемого </w:t>
      </w:r>
      <w:proofErr w:type="gram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топлива  пока</w:t>
      </w:r>
      <w:proofErr w:type="gram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являются сдерживающими факторами для развития устойчивых проектов. ПРООН старается помогать пионерам «зелёных» инвестиций на этом трудном пути, создавая условия для снижения нагрузки на планету и обеспечения устойчивого экономического роста. Масштабная трансформация экономики требует огромных «зеленых» инвестиций, и хорошая новость заключается в том, что резерв имеется как на внутреннем, так и на внешних рынках.</w:t>
      </w:r>
    </w:p>
    <w:p w:rsidR="00EA33C8" w:rsidRPr="00EA33C8" w:rsidRDefault="00EA33C8" w:rsidP="00EA33C8">
      <w:pPr>
        <w:shd w:val="clear" w:color="auto" w:fill="FFFFFF"/>
        <w:spacing w:after="0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Так, например, кредитный портфель банков второго уровня  на конец июля 2022 года </w:t>
      </w:r>
      <w:hyperlink r:id="rId9" w:history="1">
        <w:r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составил</w:t>
        </w:r>
      </w:hyperlink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 20,4 трлн. тенге ($42,8 млрд), в том числе 4,0 трлн тенге ($8,4 млрд) </w:t>
      </w: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lastRenderedPageBreak/>
        <w:t>кредитов, выданных малым и средним предприятиям (МСП). На конец августа профицит ликвидности на финансовом рынке РК </w:t>
      </w:r>
      <w:hyperlink r:id="rId10" w:history="1">
        <w:r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составил</w:t>
        </w:r>
      </w:hyperlink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 2,7 трлн тенге ($5,7 млрд)  в стране деньги есть. Вместе с </w:t>
      </w:r>
      <w:proofErr w:type="gram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тем,  даже</w:t>
      </w:r>
      <w:proofErr w:type="gram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при значительном снижении цен на «зеленые» технологии, существующие условия по займам  (кредиты с процентной ставкой ок.19%) не позволяют в должной мере окупить вложения и погасить кредит. Кроме того, банки второго уровня, как правило, очень осторожны и неохотно кредитуют «зеленые» проекты, считая их рискованными.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То есть, к барьерам, сдерживающим использование «зеленых» технологий, можно отнести затрудненный доступ к финансированию, его высокую стоимость, пробелы законодательного регулирования, а также система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тарифообразования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на традиционные энергоносители.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В части устойчивого государственного финансирования ПРООН играет ключевую роль в поддержке интеграции Целей устойчивого развития (ЦУР) в стратегическое планирование и приведении системы государственного бюджетирования в соответствие с ЦУР. Так, </w:t>
      </w:r>
      <w:proofErr w:type="gram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например,  ПРООН</w:t>
      </w:r>
      <w:proofErr w:type="gram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вносит свой вклад в обсуждение реформы налогово-бюджетной политики, чтобы реформировать систему субсидирования ископаемого топлива с перераспределением высвободившихся средств на адресную социальную помощь уязвимым слоям населения и поддержку таких устойчивых секторов, как возобновляемая энергетика, устойчивый транспорт и др.</w:t>
      </w:r>
    </w:p>
    <w:p w:rsidR="00EA33C8" w:rsidRPr="00EA33C8" w:rsidRDefault="00EA33C8" w:rsidP="00EA33C8">
      <w:pPr>
        <w:shd w:val="clear" w:color="auto" w:fill="FFFFFF"/>
        <w:spacing w:after="0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b/>
          <w:bCs/>
          <w:color w:val="121212"/>
          <w:sz w:val="26"/>
          <w:szCs w:val="26"/>
          <w:bdr w:val="none" w:sz="0" w:space="0" w:color="auto" w:frame="1"/>
          <w:lang w:eastAsia="ru-RU"/>
        </w:rPr>
        <w:t>- Какие инструменты стимулирования частных инвестиций в «зеленый» бизнес уже внедрены?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- Совместно с АО «Фонд развития предпринимательства «Даму» протестированы несколько финансовых инструментов, направленных на повышение доступности «зеленых» финансов для МСП в секторах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энергоэффективности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и возобновляемых источников энергии (ВИЭ) в рамках проектов ПРООН и правительства РК, финансируемых Глобальным Экологическим Фондом.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Инструмент субсидирования суммы основного долга, предусматривающий погашение до 40% кредита после запуска и принятия проекта (техническая верификация), был внедрен в 2022 году. С 2018 года использовался инструмент субсидирования ставки по кредитам, и 36 проектов были поддержаны путем выплаты субсидии процентной ставки банку, уменьшив платежи за заёмное финансирование.</w:t>
      </w:r>
    </w:p>
    <w:p w:rsidR="00EA33C8" w:rsidRPr="00EA33C8" w:rsidRDefault="00EA33C8" w:rsidP="00EA33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r w:rsidRPr="00EA33C8">
        <w:rPr>
          <w:rFonts w:ascii="Roboto Flex" w:eastAsia="Times New Roman" w:hAnsi="Roboto Flex" w:cs="Arial"/>
          <w:noProof/>
          <w:color w:val="0000FF"/>
          <w:sz w:val="26"/>
          <w:szCs w:val="26"/>
          <w:bdr w:val="none" w:sz="0" w:space="0" w:color="auto" w:frame="1"/>
          <w:lang w:eastAsia="ru-RU"/>
        </w:rPr>
        <w:lastRenderedPageBreak/>
        <w:drawing>
          <wp:inline distT="0" distB="0" distL="0" distR="0">
            <wp:extent cx="1257300" cy="762000"/>
            <wp:effectExtent l="0" t="0" r="0" b="0"/>
            <wp:docPr id="3" name="Рисунок 3" descr="Как финансировать зеленую инфраструктуру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 финансировать зеленую инфраструктуру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EA33C8" w:rsidRDefault="00A36EE9" w:rsidP="00EA33C8">
      <w:pPr>
        <w:shd w:val="clear" w:color="auto" w:fill="FFFFFF"/>
        <w:spacing w:after="0" w:line="405" w:lineRule="atLeast"/>
        <w:outlineLvl w:val="2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hyperlink r:id="rId13" w:history="1"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Как финансировать зеленую инфраструктуру</w:t>
        </w:r>
      </w:hyperlink>
    </w:p>
    <w:p w:rsidR="00EA33C8" w:rsidRPr="00EA33C8" w:rsidRDefault="00A36EE9" w:rsidP="00EA33C8">
      <w:pPr>
        <w:shd w:val="clear" w:color="auto" w:fill="FFFFFF"/>
        <w:spacing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hyperlink r:id="rId14" w:history="1"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 xml:space="preserve">Для стимулирования развития и борьбы с изменением климата странам с </w:t>
        </w:r>
        <w:proofErr w:type="spellStart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формир</w:t>
        </w:r>
        <w:proofErr w:type="spellEnd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... →</w:t>
        </w:r>
      </w:hyperlink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Одним из новых инструментов является кредитная гарантия (частичная замена залога). Принцип заключается в том, что ПРООН берет на себя обязательство в качестве гаранта погашения долга или выполнения договорного обязательства от имени «зеленого» проекта банку в случае дефолта. Гарантируется до 85% от суммы кредита сроком на 3 года. Гарантированная сумма кредита не может превышать 350 млн тенге на один проект. Мы очень рады, что инициатором данного проекта выступило Министерство индустрии и инфраструктурного развития Республики Казахстан.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Сочетание обоих инструментов субсидирования и гарантирования позволяет оказывать поддержку «зеленым» проектам, которые в противном случае считались бы «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высокорисковыми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» и для которых стоимость заимствований была бы непомерно высокой. В результате, реализация такого проекта стала бы невозможной несмотря на экологические (снижение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вбросов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СО2), социальные (улучшение условий жизни населения, создание рабочих мест) и экономические (частные инвестиции) выгоды проекта.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Хорошим примером «зеленого» финансирования является комплексный проект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энергоэффективной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модернизации и установки технологии ВИЭ в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Зерендинском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молодежном оздоровительном лагере «Парус». В результате реализованных мероприятий значительно сократились счета за электроэнергию и отопление, а экономия была направлена на обслуживание долга и позволила снизить себестоимость услуг лагеря. Улучшив внешний вид зданий, и обеспечив комфорт детям во время пребывания в лагере, «зеленые» инвестиции сделали лагерь более конкурентоспособным и позволили получить долгосрочный контракт с государством.</w:t>
      </w:r>
    </w:p>
    <w:p w:rsidR="00EA33C8" w:rsidRPr="00EA33C8" w:rsidRDefault="00EA33C8" w:rsidP="00EA33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noProof/>
          <w:color w:val="121212"/>
          <w:sz w:val="27"/>
          <w:szCs w:val="27"/>
          <w:lang w:eastAsia="ru-RU"/>
        </w:rPr>
        <w:lastRenderedPageBreak/>
        <w:drawing>
          <wp:inline distT="0" distB="0" distL="0" distR="0">
            <wp:extent cx="6858000" cy="4572000"/>
            <wp:effectExtent l="0" t="0" r="0" b="0"/>
            <wp:docPr id="2" name="Рисунок 2" descr="Сухроб Ходжима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ухроб Ходжиматов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EA33C8" w:rsidRDefault="00EA33C8" w:rsidP="00EA33C8">
      <w:pPr>
        <w:shd w:val="clear" w:color="auto" w:fill="FFFFFF"/>
        <w:spacing w:after="0" w:line="252" w:lineRule="atLeast"/>
        <w:rPr>
          <w:rFonts w:ascii="Arial" w:eastAsia="Times New Roman" w:hAnsi="Arial" w:cs="Arial"/>
          <w:color w:val="121212"/>
          <w:sz w:val="18"/>
          <w:szCs w:val="18"/>
          <w:lang w:eastAsia="ru-RU"/>
        </w:rPr>
      </w:pPr>
      <w:proofErr w:type="spellStart"/>
      <w:r w:rsidRPr="00EA33C8">
        <w:rPr>
          <w:rFonts w:ascii="Arial" w:eastAsia="Times New Roman" w:hAnsi="Arial" w:cs="Arial"/>
          <w:color w:val="121212"/>
          <w:sz w:val="18"/>
          <w:szCs w:val="18"/>
          <w:lang w:eastAsia="ru-RU"/>
        </w:rPr>
        <w:t>Сухроб</w:t>
      </w:r>
      <w:proofErr w:type="spellEnd"/>
      <w:r w:rsidRPr="00EA33C8">
        <w:rPr>
          <w:rFonts w:ascii="Arial" w:eastAsia="Times New Roman" w:hAnsi="Arial" w:cs="Arial"/>
          <w:color w:val="121212"/>
          <w:sz w:val="18"/>
          <w:szCs w:val="18"/>
          <w:lang w:eastAsia="ru-RU"/>
        </w:rPr>
        <w:t xml:space="preserve"> </w:t>
      </w:r>
      <w:proofErr w:type="spellStart"/>
      <w:r w:rsidRPr="00EA33C8">
        <w:rPr>
          <w:rFonts w:ascii="Arial" w:eastAsia="Times New Roman" w:hAnsi="Arial" w:cs="Arial"/>
          <w:color w:val="121212"/>
          <w:sz w:val="18"/>
          <w:szCs w:val="18"/>
          <w:lang w:eastAsia="ru-RU"/>
        </w:rPr>
        <w:t>Ходжиматов</w:t>
      </w:r>
      <w:proofErr w:type="spellEnd"/>
    </w:p>
    <w:p w:rsidR="00EA33C8" w:rsidRPr="00EA33C8" w:rsidRDefault="00EA33C8" w:rsidP="00EA33C8">
      <w:pPr>
        <w:shd w:val="clear" w:color="auto" w:fill="FFFFFF"/>
        <w:spacing w:line="252" w:lineRule="atLeast"/>
        <w:rPr>
          <w:rFonts w:ascii="Arial" w:eastAsia="Times New Roman" w:hAnsi="Arial" w:cs="Arial"/>
          <w:color w:val="121212"/>
          <w:sz w:val="18"/>
          <w:szCs w:val="18"/>
          <w:lang w:eastAsia="ru-RU"/>
        </w:rPr>
      </w:pPr>
      <w:r w:rsidRPr="00EA33C8">
        <w:rPr>
          <w:rFonts w:ascii="Arial" w:eastAsia="Times New Roman" w:hAnsi="Arial" w:cs="Arial"/>
          <w:color w:val="121212"/>
          <w:sz w:val="18"/>
          <w:szCs w:val="18"/>
          <w:lang w:eastAsia="ru-RU"/>
        </w:rPr>
        <w:t>ФОТО: © UNDP</w:t>
      </w:r>
    </w:p>
    <w:p w:rsidR="00EA33C8" w:rsidRPr="00EA33C8" w:rsidRDefault="00EA33C8" w:rsidP="00EA33C8">
      <w:pPr>
        <w:shd w:val="clear" w:color="auto" w:fill="FFFFFF"/>
        <w:spacing w:after="0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b/>
          <w:bCs/>
          <w:color w:val="121212"/>
          <w:sz w:val="26"/>
          <w:szCs w:val="26"/>
          <w:bdr w:val="none" w:sz="0" w:space="0" w:color="auto" w:frame="1"/>
          <w:lang w:eastAsia="ru-RU"/>
        </w:rPr>
        <w:t>Вы рассказали о точечном пилотировании некоторых инструментов, как можно масштабировать такие инициативы и привлекать зеленые инвестиции на уровне страны?  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«Зеленые» облигации — еще один долговой инструмент, впервые реализованный в Казахстане при поддержке ПРООН.  Фонд «Даму» выступил эмитентом дебютных «зеленых» облигаций при поддержке ПРООН и Центра зеленых финансов МФЦА (ЦЗФ) 11 августа 2020 года на площадке Международного финансового центра «Астана», за что был отмечен международной наградой «Пионер зеленого рынка» (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Climate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Bonds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Award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2021). Партнер ПРООН ЦЗФ отметил, что этот выпуск помог создать устойчивый рынок облигаций в Казахстане. За ним последовали еще 3 выпуска облигаций ESG в тенге: два выпуска АБР на общую сумму $32,5 млн и выпуск ДАМУ на $2,4 млн. Привлеченные в рамках первого выпуска «зеленых» облигаций средства были направлены на строительство солнечной электрической станции мощностью 2 МВт, которая обеспечивает чистой энергией жителей поселков Шаульдер и ж/д станции Темир Туркестанской области.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lastRenderedPageBreak/>
        <w:t xml:space="preserve">ПРООН также содействовала запуску экспериментальных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факторинговых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операций в Казахстане, которые помогают решить проблему модернизации старого жилищного фонда и значительно сократить выбросы парниковых газов в строительном секторе и также решают проблему отсутствия залога для получения финансирования.</w:t>
      </w:r>
    </w:p>
    <w:p w:rsidR="00EA33C8" w:rsidRPr="00EA33C8" w:rsidRDefault="00EA33C8" w:rsidP="00EA33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r w:rsidRPr="00EA33C8">
        <w:rPr>
          <w:rFonts w:ascii="Roboto Flex" w:eastAsia="Times New Roman" w:hAnsi="Roboto Flex" w:cs="Arial"/>
          <w:noProof/>
          <w:color w:val="0000FF"/>
          <w:sz w:val="26"/>
          <w:szCs w:val="26"/>
          <w:bdr w:val="none" w:sz="0" w:space="0" w:color="auto" w:frame="1"/>
          <w:lang w:eastAsia="ru-RU"/>
        </w:rPr>
        <w:drawing>
          <wp:inline distT="0" distB="0" distL="0" distR="0">
            <wp:extent cx="1257300" cy="762000"/>
            <wp:effectExtent l="0" t="0" r="0" b="0"/>
            <wp:docPr id="1" name="Рисунок 1" descr="Почему центробанки обязаны стать «зелёными»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чему центробанки обязаны стать «зелёными»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EA33C8" w:rsidRDefault="00A36EE9" w:rsidP="00EA33C8">
      <w:pPr>
        <w:shd w:val="clear" w:color="auto" w:fill="FFFFFF"/>
        <w:spacing w:after="0" w:line="405" w:lineRule="atLeast"/>
        <w:outlineLvl w:val="2"/>
        <w:rPr>
          <w:rFonts w:ascii="Arial" w:eastAsia="Times New Roman" w:hAnsi="Arial" w:cs="Arial"/>
          <w:color w:val="121212"/>
          <w:sz w:val="27"/>
          <w:szCs w:val="27"/>
          <w:lang w:eastAsia="ru-RU"/>
        </w:rPr>
      </w:pPr>
      <w:hyperlink r:id="rId18" w:history="1"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 xml:space="preserve">Почему </w:t>
        </w:r>
        <w:proofErr w:type="spellStart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центробанки</w:t>
        </w:r>
        <w:proofErr w:type="spellEnd"/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 xml:space="preserve"> обязаны стать «зелёными»</w:t>
        </w:r>
      </w:hyperlink>
    </w:p>
    <w:p w:rsidR="00EA33C8" w:rsidRPr="00EA33C8" w:rsidRDefault="00A36EE9" w:rsidP="00EA33C8">
      <w:pPr>
        <w:shd w:val="clear" w:color="auto" w:fill="FFFFFF"/>
        <w:spacing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hyperlink r:id="rId19" w:history="1">
        <w:r w:rsidR="00EA33C8" w:rsidRPr="00EA33C8">
          <w:rPr>
            <w:rFonts w:ascii="Roboto Flex" w:eastAsia="Times New Roman" w:hAnsi="Roboto Flex" w:cs="Arial"/>
            <w:color w:val="0000FF"/>
            <w:sz w:val="26"/>
            <w:szCs w:val="26"/>
            <w:bdr w:val="none" w:sz="0" w:space="0" w:color="auto" w:frame="1"/>
            <w:lang w:eastAsia="ru-RU"/>
          </w:rPr>
          <w:t>Нет сомнений в том, что изменение климата создаёт огромные экономические и ... →</w:t>
        </w:r>
      </w:hyperlink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Регуляторные инструменты по снижению рисков инвестирования также позволяют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мобилизовывать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масштабные частные инвестиции в «зеленые» проекты. ПРООН поддержала введение в Казахстане аукциона </w:t>
      </w:r>
      <w:proofErr w:type="gram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ВИЭ  с</w:t>
      </w:r>
      <w:proofErr w:type="gram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готовой документацией (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site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specific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RE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auction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). Ключевой момент заключается в том, что до начала аукциона в пакете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предпроектной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документации потенциальному инвестору заранее предоставляются технические данные и разрешительные документы для проекта, чтобы свести бюрократию к минимуму и сразу после победы на аукционе начать строительство. Это позволяет участникам торгов просчитать свои возможности, исключить «скрытые» риски и предложить еще более низкие тарифы в ходе торгов. В результате, пилотный аукцион позволил получить рекордно низкий тариф на киловатт солнечной энергии- 12,49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тг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/кВт*ч и привлечь прямые иностранные инвестиции в размере $40-50 млн в строительство солнечной электростанции мощностью 50 МВт в поселке Шаульдер Туркестанской области. Данный успешный подход продолжается Министерством энергетики РК самостоятельно, предлагая каждый год новые площадки для реализации проектов ВИЭ инвесторам.</w:t>
      </w:r>
    </w:p>
    <w:p w:rsidR="00EA33C8" w:rsidRPr="00EA33C8" w:rsidRDefault="00EA33C8" w:rsidP="00EA33C8">
      <w:pPr>
        <w:shd w:val="clear" w:color="auto" w:fill="FFFFFF"/>
        <w:spacing w:after="375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Таким образом, для стимулирования «зеленых» инвестиций, ПРООН впервые разработала несколько финансовых и регуляторных инструментов, которые снижают риски и стоимость финансирования, упрощают процессы для инвесторов и конечных пользователей, а также воспроизводимы и масштабируемы. Мы не останавливаемся на достигнутом, сейчас рассматривается возможность интеграции страны в международные карбоновые рынки </w:t>
      </w:r>
      <w:proofErr w:type="gram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и  другие</w:t>
      </w:r>
      <w:proofErr w:type="gram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возможности для мобилизации устойчивых инвестиций в экономику Казахстана. Все эти инструменты направлены на развитие «зеленой» финансовой системы и содействие стране в достижении задачи по </w:t>
      </w:r>
      <w:proofErr w:type="spellStart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>низкоуглеродному</w:t>
      </w:r>
      <w:proofErr w:type="spellEnd"/>
      <w:r w:rsidRPr="00EA33C8"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  <w:t xml:space="preserve"> развитию. </w:t>
      </w:r>
    </w:p>
    <w:p w:rsidR="00EA33C8" w:rsidRPr="00EA33C8" w:rsidRDefault="00EA33C8" w:rsidP="00EA33C8">
      <w:pPr>
        <w:shd w:val="clear" w:color="auto" w:fill="FFFFFF"/>
        <w:spacing w:after="0" w:line="383" w:lineRule="atLeast"/>
        <w:rPr>
          <w:rFonts w:ascii="Roboto Flex" w:eastAsia="Times New Roman" w:hAnsi="Roboto Flex" w:cs="Arial"/>
          <w:color w:val="121212"/>
          <w:sz w:val="26"/>
          <w:szCs w:val="26"/>
          <w:lang w:eastAsia="ru-RU"/>
        </w:rPr>
      </w:pPr>
      <w:r w:rsidRPr="00EA33C8">
        <w:rPr>
          <w:rFonts w:ascii="Roboto Flex" w:eastAsia="Times New Roman" w:hAnsi="Roboto Flex" w:cs="Arial"/>
          <w:i/>
          <w:iCs/>
          <w:color w:val="121212"/>
          <w:sz w:val="26"/>
          <w:szCs w:val="26"/>
          <w:bdr w:val="none" w:sz="0" w:space="0" w:color="auto" w:frame="1"/>
          <w:lang w:eastAsia="ru-RU"/>
        </w:rPr>
        <w:lastRenderedPageBreak/>
        <w:t>Материал подготовлен в рамках сотрудничества с ПРООН в Казахстане</w:t>
      </w:r>
    </w:p>
    <w:p w:rsidR="00A748DC" w:rsidRDefault="00A748DC"/>
    <w:p w:rsidR="00EA33C8" w:rsidRDefault="00EA33C8"/>
    <w:p w:rsidR="00EA33C8" w:rsidRPr="00A36EE9" w:rsidRDefault="00EA33C8" w:rsidP="00A36E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36EE9">
        <w:rPr>
          <w:rFonts w:ascii="Times New Roman" w:hAnsi="Times New Roman" w:cs="Times New Roman"/>
          <w:b/>
          <w:sz w:val="28"/>
          <w:szCs w:val="28"/>
        </w:rPr>
        <w:t>ПРОГРАММЫ:</w:t>
      </w:r>
    </w:p>
    <w:bookmarkEnd w:id="0"/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Использование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энергоэффективных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технологий позволяет экономить до 80% эксплуатационных расходов зданий. В Казахстане проекты, нацеленные на рациональное потребление энергии, могут получить субсидию в 40% от общей стоимости. «Курсив» разбирался, как работает механизм, кто может рассчитывать на различные виды субсидий, и чем они отличаются друг от друга.</w:t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 xml:space="preserve">Промышленность и здания – главные потребители энергии. И если доля промышленности в глобальном энергопотреблении в последние годы сокращается, то доля зданий, наоборот, растет, свидетельствуют данные Всемирного банка. То есть на системы отопления, вентиляции и кондиционирования зданий сейчас приходится самый большой расход энергии в мире.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Энергозатраты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зданий можно снизить на 60–80%, используя зеленые технологии, причем в Казахстане малый и средний бизнес (МСБ) может получить банковские гарантии и субсидии на реализацию таких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энергоэффективных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проектов. «Курсив» уточнил у экспертов, каким именно критериям должны соответствовать проекты, претендующие на зеленые субсидии.</w: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Субсидии на зеленую городскую инфраструктуру</w: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Подрядчик, который возводит здание или инфраструктуру, владелец объекта или даже сервисная компания могут получить субсидию до 40% суммы основного займа (но не более 180 млн тенге) на зеленые проекты по программе «Устойчивые города для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низкоуглеродного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развития». По условиям программы на финансовую поддержку могут рассчитывать представители МСБ в любых казахстанских городах, а также в пригородных поселках с населением более двух тысяч человек, если бизнес реализует проект, позволяющий снизить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энерго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- тепло- или водопотребление. К</w:t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 xml:space="preserve">примеру, можно устанавливать энергосберегающие лампы в зданиях, на прилегающей территории или городских улицах, заменить стеклопакеты на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энергоэффективные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, утеплить стены зданий и т. д.</w:t>
      </w:r>
    </w:p>
    <w:p w:rsidR="00EA33C8" w:rsidRPr="00EA33C8" w:rsidRDefault="00EA33C8" w:rsidP="00EA33C8">
      <w:pPr>
        <w:spacing w:after="0" w:line="240" w:lineRule="auto"/>
        <w:ind w:left="-1134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33C8">
        <w:rPr>
          <w:rFonts w:ascii="Arial" w:eastAsia="Times New Roman" w:hAnsi="Arial" w:cs="Arial"/>
          <w:noProof/>
          <w:color w:val="0000FF"/>
          <w:sz w:val="27"/>
          <w:szCs w:val="27"/>
          <w:shd w:val="clear" w:color="auto" w:fill="F0F0F0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https://cdn-kz.kursiv.media/wp-content/uploads/2023/04/9-4-1024x351.webp">
                  <a:hlinkClick xmlns:a="http://schemas.openxmlformats.org/drawingml/2006/main" r:id="rId20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6E4266" id="Прямоугольник 7" o:spid="_x0000_s1026" alt="https://cdn-kz.kursiv.media/wp-content/uploads/2023/04/9-4-1024x351.webp" href="https://cdn-kz.kursiv.media/wp-content/uploads/2023/04/9-4-1024x351.web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Программа «Устойчивые города для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низкоуглеродного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развития» была запущена ПРООН при финансовой поддержке Глобального экологического фонда (национальный партнер в республике – МИИР РК) еще в 2017 году. За неполные шесть лет субсидии получили около сорока заявителей на проекты общей суммой примерно $5 млн.</w: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Программа поддержки ориентирована на тех, кто стремится поднять планку «зеленого» здания выше установленного минимума. Если заявитель планирует </w:t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lastRenderedPageBreak/>
        <w:t>просто дотянуть объект до законодательных норм, в субсидии откажут. Кроме того, программой установлены ограничения по</w:t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эффективности проекта, объему и ставке кредита, срокам окупаемости. Участниками проекта не могут быть заявители, доля участия государства в которых более 50% (за исключением ГЧП). А кредиторами – национальные институты развития, национальные компании. Субсидию не выделят, если ставка по кредиту уже удешевлена за счет бюджетных средств.</w:t>
      </w:r>
    </w:p>
    <w:p w:rsidR="00EA33C8" w:rsidRPr="00EA33C8" w:rsidRDefault="00EA33C8" w:rsidP="00EA33C8">
      <w:pPr>
        <w:spacing w:after="100" w:afterAutospacing="1" w:line="240" w:lineRule="auto"/>
        <w:ind w:left="-1134" w:right="-284"/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t xml:space="preserve">«По сути, вся поддержка ориентирована на заявителей из МСБ, стремящихся снизить </w:t>
      </w:r>
      <w:proofErr w:type="spellStart"/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t>энерго</w:t>
      </w:r>
      <w:proofErr w:type="spellEnd"/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t xml:space="preserve">- и теплопотребление, но не имеющих для этого достаточно средств. Мы поддерживаем как инвестиции в строительство или модернизацию, так и пополнение оборотных средств. Если срок окупаемости менее двух лет, мы предполагаем, что такой </w:t>
      </w:r>
      <w:proofErr w:type="spellStart"/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t>быстроокупаемый</w:t>
      </w:r>
      <w:proofErr w:type="spellEnd"/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t xml:space="preserve"> проект заявитель может реализовать самостоятельно», – поясняет консультант проекта ПРООН-ГЭФ</w:t>
      </w:r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br/>
      </w:r>
      <w:proofErr w:type="spellStart"/>
      <w:r w:rsidRPr="00EA33C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Алия</w:t>
      </w:r>
      <w:proofErr w:type="spellEnd"/>
      <w:r w:rsidRPr="00EA33C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</w:t>
      </w:r>
      <w:proofErr w:type="spellStart"/>
      <w:r w:rsidRPr="00EA33C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Салимжуарова</w:t>
      </w:r>
      <w:proofErr w:type="spellEnd"/>
      <w:r w:rsidRPr="00EA33C8">
        <w:rPr>
          <w:rFonts w:ascii="Arial" w:eastAsia="Times New Roman" w:hAnsi="Arial" w:cs="Arial"/>
          <w:i/>
          <w:iCs/>
          <w:color w:val="333333"/>
          <w:sz w:val="27"/>
          <w:szCs w:val="27"/>
          <w:lang w:eastAsia="ru-RU"/>
        </w:rPr>
        <w:t>.</w: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Успеть реализовать проект нужно за пять месяцев (150 дней) с момента одобрения субсидии (возможно продление срока еще на 30 дней при возникновении обстоятельств непреодолимой силы). Субсидия предоставляется после ввода объекта в эксплуатацию.</w: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Субсидии на альтернативную энергию</w:t>
      </w:r>
    </w:p>
    <w:p w:rsidR="00EA33C8" w:rsidRPr="00EA33C8" w:rsidRDefault="00EA33C8" w:rsidP="00EA33C8">
      <w:pPr>
        <w:shd w:val="clear" w:color="auto" w:fill="F0F0F0"/>
        <w:spacing w:after="348" w:line="240" w:lineRule="auto"/>
        <w:ind w:left="-1134" w:right="-284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Еще одна программа ПРООН-</w:t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softHyphen/>
        <w:t xml:space="preserve">ГЭФ направлена на стимулирование инвестиций в возобновляемые источники энергии (ВИЭ). Представители МСБ могут за счет субсидий удешевить банковские кредиты на возведение солнечных и ветровых электростанций, </w:t>
      </w:r>
      <w:proofErr w:type="spellStart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гелиоколлекторов</w:t>
      </w:r>
      <w:proofErr w:type="spellEnd"/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, строительство</w:t>
      </w:r>
      <w:r w:rsidRPr="00EA33C8">
        <w:rPr>
          <w:rFonts w:ascii="Arial" w:eastAsia="Times New Roman" w:hAnsi="Arial" w:cs="Arial"/>
          <w:color w:val="333333"/>
          <w:sz w:val="27"/>
          <w:szCs w:val="27"/>
          <w:lang w:eastAsia="ru-RU"/>
        </w:rPr>
        <w:br/>
        <w:t>мини-ГЭС.</w:t>
      </w:r>
    </w:p>
    <w:p w:rsidR="00EA33C8" w:rsidRPr="00A36EE9" w:rsidRDefault="00EA33C8">
      <w:pPr>
        <w:ind w:left="-1134" w:right="-284"/>
      </w:pPr>
    </w:p>
    <w:p w:rsidR="00EA33C8" w:rsidRDefault="00EA33C8">
      <w:pPr>
        <w:ind w:left="-1134" w:right="-284"/>
      </w:pPr>
    </w:p>
    <w:p w:rsidR="00EA33C8" w:rsidRDefault="00EA33C8"/>
    <w:p w:rsidR="00EA33C8" w:rsidRDefault="00EA33C8"/>
    <w:sectPr w:rsidR="00EA3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 Flex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D70"/>
    <w:rsid w:val="00496D70"/>
    <w:rsid w:val="008D3AEE"/>
    <w:rsid w:val="00A36EE9"/>
    <w:rsid w:val="00A748DC"/>
    <w:rsid w:val="00EA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FE533"/>
  <w15:chartTrackingRefBased/>
  <w15:docId w15:val="{89B9CDEF-775D-473E-9484-28289D6B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33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A33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33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A33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EA33C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A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A33C8"/>
    <w:rPr>
      <w:b/>
      <w:bCs/>
    </w:rPr>
  </w:style>
  <w:style w:type="paragraph" w:customStyle="1" w:styleId="intro">
    <w:name w:val="intro"/>
    <w:basedOn w:val="a"/>
    <w:rsid w:val="00EA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rowreadmoreshadow">
    <w:name w:val="arrow_read_more_shadow"/>
    <w:basedOn w:val="a0"/>
    <w:rsid w:val="00EA33C8"/>
  </w:style>
  <w:style w:type="character" w:styleId="a6">
    <w:name w:val="Emphasis"/>
    <w:basedOn w:val="a0"/>
    <w:uiPriority w:val="20"/>
    <w:qFormat/>
    <w:rsid w:val="00EA33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18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53596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83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9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38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643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8025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965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249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5711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0766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4279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158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87458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7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08609">
          <w:blockQuote w:val="1"/>
          <w:marLeft w:val="0"/>
          <w:marRight w:val="5535"/>
          <w:marTop w:val="100"/>
          <w:marBottom w:val="100"/>
          <w:divBdr>
            <w:top w:val="none" w:sz="0" w:space="0" w:color="auto"/>
            <w:left w:val="single" w:sz="18" w:space="15" w:color="CCCCCC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bes.kz/process/energetics/kazahstan_obespechit_evrosoyuz_zelenyim_vodorodom/?utm_source=forbes&amp;utm_medium=incut&amp;utm_campaign=287482" TargetMode="External"/><Relationship Id="rId13" Type="http://schemas.openxmlformats.org/officeDocument/2006/relationships/hyperlink" Target="https://forbes.kz/life/opinion/kak_finansirovat_zelenuyu_infrastrukturu/?utm_source=forbes&amp;utm_medium=incut&amp;utm_campaign=287047" TargetMode="External"/><Relationship Id="rId18" Type="http://schemas.openxmlformats.org/officeDocument/2006/relationships/hyperlink" Target="https://forbes.kz/life/opinion/pochemu_tsentrobanki_obyazanyi_stat_zelenyimi/?utm_source=forbes&amp;utm_medium=incut&amp;utm_campaign=284641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forbes.kz/process/energetics/kazahstan_obespechit_evrosoyuz_zelenyim_vodorodom/?utm_source=forbes&amp;utm_medium=incut&amp;utm_campaign=287482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5.jpeg"/><Relationship Id="rId2" Type="http://schemas.openxmlformats.org/officeDocument/2006/relationships/settings" Target="settings.xml"/><Relationship Id="rId16" Type="http://schemas.openxmlformats.org/officeDocument/2006/relationships/hyperlink" Target="https://forbes.kz/life/opinion/pochemu_tsentrobanki_obyazanyi_stat_zelenyimi/?utm_source=forbes&amp;utm_medium=incut&amp;utm_campaign=284641" TargetMode="External"/><Relationship Id="rId20" Type="http://schemas.openxmlformats.org/officeDocument/2006/relationships/hyperlink" Target="https://cdn-kz.kursiv.media/wp-content/uploads/2023/04/9-4-1024x351.webp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forbes.kz/life/opinion/kak_finansirovat_zelenuyu_infrastrukturu/?utm_source=forbes&amp;utm_medium=incut&amp;utm_campaign=287047" TargetMode="External"/><Relationship Id="rId5" Type="http://schemas.openxmlformats.org/officeDocument/2006/relationships/hyperlink" Target="https://forbes.kz/process/energetics/kazahstan_obespechit_evrosoyuz_zelenyim_vodorodom/?utm_source=forbes&amp;utm_medium=incut&amp;utm_campaign=287482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s://nationalbank.kz/ru/news/press-relizy/14110" TargetMode="External"/><Relationship Id="rId19" Type="http://schemas.openxmlformats.org/officeDocument/2006/relationships/hyperlink" Target="https://forbes.kz/life/opinion/pochemu_tsentrobanki_obyazanyi_stat_zelenyimi/?utm_source=forbes&amp;utm_medium=incut&amp;utm_campaign=284641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nationalbank.kz/ru/exchangerates/ezhednevnye-oficialnye-rynochnye-kursy-valyut/report?rates%5B%5D=5&amp;beginDate=2022-07-01&amp;endDate=2022-09-01" TargetMode="External"/><Relationship Id="rId14" Type="http://schemas.openxmlformats.org/officeDocument/2006/relationships/hyperlink" Target="https://forbes.kz/life/opinion/kak_finansirovat_zelenuyu_infrastrukturu/?utm_source=forbes&amp;utm_medium=incut&amp;utm_campaign=287047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2204</Words>
  <Characters>12564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5</cp:revision>
  <dcterms:created xsi:type="dcterms:W3CDTF">2024-09-05T10:57:00Z</dcterms:created>
  <dcterms:modified xsi:type="dcterms:W3CDTF">2024-09-23T10:16:00Z</dcterms:modified>
</cp:coreProperties>
</file>